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[PRINT ON LETTERHEAD]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SUBMIT VIA THE ADVOCATES PORTAL AT </w:t>
      </w:r>
      <w:hyperlink r:id="rId7">
        <w:r w:rsidDel="00000000" w:rsidR="00000000" w:rsidRPr="00000000">
          <w:rPr>
            <w:rFonts w:ascii="Arial" w:cs="Arial" w:eastAsia="Arial" w:hAnsi="Arial"/>
            <w:b w:val="1"/>
            <w:color w:val="1155cc"/>
            <w:highlight w:val="yellow"/>
            <w:u w:val="single"/>
            <w:rtl w:val="0"/>
          </w:rPr>
          <w:t xml:space="preserve">https://calegislation.lc.ca.gov/Advocates</w:t>
        </w:r>
      </w:hyperlink>
      <w:r w:rsidDel="00000000" w:rsidR="00000000" w:rsidRPr="00000000">
        <w:rPr>
          <w:rFonts w:ascii="Arial" w:cs="Arial" w:eastAsia="Arial" w:hAnsi="Arial"/>
          <w:b w:val="1"/>
          <w:color w:val="000000"/>
          <w:highlight w:val="yellow"/>
          <w:rtl w:val="0"/>
        </w:rPr>
        <w:t xml:space="preserve"> AND EMAIL A COPY TO </w:t>
      </w:r>
      <w:r w:rsidDel="00000000" w:rsidR="00000000" w:rsidRPr="00000000">
        <w:rPr>
          <w:rFonts w:ascii="Arial" w:cs="Arial" w:eastAsia="Arial" w:hAnsi="Arial"/>
          <w:b w:val="1"/>
          <w:highlight w:val="yellow"/>
          <w:rtl w:val="0"/>
        </w:rPr>
        <w:t xml:space="preserve">JACOB FRAKER</w:t>
      </w:r>
      <w:r w:rsidDel="00000000" w:rsidR="00000000" w:rsidRPr="00000000">
        <w:rPr>
          <w:rFonts w:ascii="Arial" w:cs="Arial" w:eastAsia="Arial" w:hAnsi="Arial"/>
          <w:b w:val="1"/>
          <w:color w:val="000000"/>
          <w:highlight w:val="yellow"/>
          <w:rtl w:val="0"/>
        </w:rPr>
        <w:t xml:space="preserve"> AT </w:t>
      </w:r>
      <w:hyperlink r:id="rId8">
        <w:r w:rsidDel="00000000" w:rsidR="00000000" w:rsidRPr="00000000">
          <w:rPr>
            <w:rFonts w:ascii="Arial" w:cs="Arial" w:eastAsia="Arial" w:hAnsi="Arial"/>
            <w:b w:val="1"/>
            <w:color w:val="1155cc"/>
            <w:highlight w:val="yellow"/>
            <w:u w:val="single"/>
            <w:rtl w:val="0"/>
          </w:rPr>
          <w:t xml:space="preserve">Jacob.Fraker@sen.ca.gov</w:t>
        </w:r>
      </w:hyperlink>
      <w:r w:rsidDel="00000000" w:rsidR="00000000" w:rsidRPr="00000000">
        <w:rPr>
          <w:rFonts w:ascii="Arial" w:cs="Arial" w:eastAsia="Arial" w:hAnsi="Arial"/>
          <w:b w:val="1"/>
          <w:color w:val="000000"/>
          <w:highlight w:val="yellow"/>
          <w:rtl w:val="0"/>
        </w:rPr>
        <w:t xml:space="preserve"> AND LIDIA SALAZAR AT </w:t>
      </w:r>
      <w:hyperlink r:id="rId9">
        <w:r w:rsidDel="00000000" w:rsidR="00000000" w:rsidRPr="00000000">
          <w:rPr>
            <w:rFonts w:ascii="Arial" w:cs="Arial" w:eastAsia="Arial" w:hAnsi="Arial"/>
            <w:b w:val="1"/>
            <w:color w:val="1155cc"/>
            <w:highlight w:val="yellow"/>
            <w:u w:val="single"/>
            <w:rtl w:val="0"/>
          </w:rPr>
          <w:t xml:space="preserve">Lidia@cuav.org</w:t>
        </w:r>
      </w:hyperlink>
      <w:r w:rsidDel="00000000" w:rsidR="00000000" w:rsidRPr="00000000">
        <w:rPr>
          <w:rFonts w:ascii="Arial" w:cs="Arial" w:eastAsia="Arial" w:hAnsi="Arial"/>
          <w:b w:val="1"/>
          <w:color w:val="000000"/>
          <w:highlight w:val="yellow"/>
          <w:rtl w:val="0"/>
        </w:rPr>
        <w:t xml:space="preserve"> - </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b w:val="1"/>
          <w:i w:val="1"/>
          <w:color w:val="000000"/>
          <w:highlight w:val="yellow"/>
          <w:rtl w:val="0"/>
        </w:rPr>
        <w:t xml:space="preserve">Submit all letters by </w:t>
      </w:r>
      <w:r w:rsidDel="00000000" w:rsidR="00000000" w:rsidRPr="00000000">
        <w:rPr>
          <w:rFonts w:ascii="Arial" w:cs="Arial" w:eastAsia="Arial" w:hAnsi="Arial"/>
          <w:b w:val="1"/>
          <w:i w:val="1"/>
          <w:highlight w:val="yellow"/>
          <w:rtl w:val="0"/>
        </w:rPr>
        <w:t xml:space="preserve">June</w:t>
      </w:r>
      <w:r w:rsidDel="00000000" w:rsidR="00000000" w:rsidRPr="00000000">
        <w:rPr>
          <w:rFonts w:ascii="Arial" w:cs="Arial" w:eastAsia="Arial" w:hAnsi="Arial"/>
          <w:b w:val="1"/>
          <w:i w:val="1"/>
          <w:color w:val="000000"/>
          <w:highlight w:val="yellow"/>
          <w:rtl w:val="0"/>
        </w:rPr>
        <w:t xml:space="preserve"> </w:t>
      </w:r>
      <w:r w:rsidDel="00000000" w:rsidR="00000000" w:rsidRPr="00000000">
        <w:rPr>
          <w:rFonts w:ascii="Arial" w:cs="Arial" w:eastAsia="Arial" w:hAnsi="Arial"/>
          <w:b w:val="1"/>
          <w:i w:val="1"/>
          <w:highlight w:val="yellow"/>
          <w:rtl w:val="0"/>
        </w:rPr>
        <w:t xml:space="preserve">14, 2022</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[DATE]</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212121"/>
        </w:rPr>
      </w:pPr>
      <w:r w:rsidDel="00000000" w:rsidR="00000000" w:rsidRPr="00000000">
        <w:rPr>
          <w:rFonts w:ascii="Arial" w:cs="Arial" w:eastAsia="Arial" w:hAnsi="Arial"/>
          <w:color w:val="212121"/>
          <w:rtl w:val="0"/>
        </w:rPr>
        <w:t xml:space="preserve">The Honorable </w:t>
      </w:r>
      <w:r w:rsidDel="00000000" w:rsidR="00000000" w:rsidRPr="00000000">
        <w:rPr>
          <w:rFonts w:ascii="Arial" w:cs="Arial" w:eastAsia="Arial" w:hAnsi="Arial"/>
          <w:color w:val="212121"/>
          <w:highlight w:val="white"/>
          <w:rtl w:val="0"/>
        </w:rPr>
        <w:t xml:space="preserve">Mark Stone</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Chair, </w:t>
      </w:r>
      <w:r w:rsidDel="00000000" w:rsidR="00000000" w:rsidRPr="00000000">
        <w:rPr>
          <w:rFonts w:ascii="Arial" w:cs="Arial" w:eastAsia="Arial" w:hAnsi="Arial"/>
          <w:rtl w:val="0"/>
        </w:rPr>
        <w:t xml:space="preserve">Assembly</w:t>
      </w:r>
      <w:r w:rsidDel="00000000" w:rsidR="00000000" w:rsidRPr="00000000">
        <w:rPr>
          <w:rFonts w:ascii="Arial" w:cs="Arial" w:eastAsia="Arial" w:hAnsi="Arial"/>
          <w:color w:val="000000"/>
          <w:rtl w:val="0"/>
        </w:rPr>
        <w:t xml:space="preserve"> Judiciary</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Committee</w:t>
      </w:r>
      <w:r w:rsidDel="00000000" w:rsidR="00000000" w:rsidRPr="00000000">
        <w:rPr>
          <w:rtl w:val="0"/>
        </w:rPr>
      </w:r>
    </w:p>
    <w:p w:rsidR="00000000" w:rsidDel="00000000" w:rsidP="00000000" w:rsidRDefault="00000000" w:rsidRPr="00000000" w14:paraId="00000009">
      <w:pPr>
        <w:spacing w:after="0" w:line="240" w:lineRule="auto"/>
        <w:rPr>
          <w:rFonts w:ascii="Verdana" w:cs="Verdana" w:eastAsia="Verdana" w:hAnsi="Verdana"/>
          <w:b w:val="1"/>
          <w:sz w:val="27"/>
          <w:szCs w:val="27"/>
        </w:rPr>
      </w:pPr>
      <w:r w:rsidDel="00000000" w:rsidR="00000000" w:rsidRPr="00000000">
        <w:rPr>
          <w:rFonts w:ascii="Arial" w:cs="Arial" w:eastAsia="Arial" w:hAnsi="Arial"/>
          <w:color w:val="000000"/>
          <w:rtl w:val="0"/>
        </w:rPr>
        <w:t xml:space="preserve">State Capitol,</w:t>
      </w:r>
      <w:r w:rsidDel="00000000" w:rsidR="00000000" w:rsidRPr="00000000">
        <w:rPr>
          <w:rFonts w:ascii="Arial" w:cs="Arial" w:eastAsia="Arial" w:hAnsi="Arial"/>
          <w:rtl w:val="0"/>
        </w:rPr>
        <w:t xml:space="preserve"> Suite 5740</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Sacramento, CA 9</w:t>
      </w:r>
      <w:r w:rsidDel="00000000" w:rsidR="00000000" w:rsidRPr="00000000">
        <w:rPr>
          <w:rFonts w:ascii="Arial" w:cs="Arial" w:eastAsia="Arial" w:hAnsi="Arial"/>
          <w:rtl w:val="0"/>
        </w:rPr>
        <w:t xml:space="preserve">4249</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RE: SB 1017 (Eggman) - SUPPORT</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Dear </w:t>
      </w:r>
      <w:r w:rsidDel="00000000" w:rsidR="00000000" w:rsidRPr="00000000">
        <w:rPr>
          <w:rFonts w:ascii="Arial" w:cs="Arial" w:eastAsia="Arial" w:hAnsi="Arial"/>
          <w:rtl w:val="0"/>
        </w:rPr>
        <w:t xml:space="preserve">Assembly Member Stone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[ORGANIZATION]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is pleased to support SB 1017</w:t>
      </w:r>
      <w:r w:rsidDel="00000000" w:rsidR="00000000" w:rsidRPr="00000000">
        <w:rPr>
          <w:rFonts w:ascii="Arial" w:cs="Arial" w:eastAsia="Arial" w:hAnsi="Arial"/>
          <w:rtl w:val="0"/>
        </w:rPr>
        <w:t xml:space="preserve"> (Eggman)</w:t>
      </w:r>
      <w:r w:rsidDel="00000000" w:rsidR="00000000" w:rsidRPr="00000000">
        <w:rPr>
          <w:rFonts w:ascii="Arial" w:cs="Arial" w:eastAsia="Arial" w:hAnsi="Arial"/>
          <w:color w:val="000000"/>
          <w:rtl w:val="0"/>
        </w:rPr>
        <w:t xml:space="preserve">, the Keeping Survivors Housed Act, which will support survivors of violence, including domestic violence, intimate partner violence, sexual assault, stalking, human trafficking, elder or dependent adult abuse, and other forms of violent </w:t>
      </w:r>
      <w:r w:rsidDel="00000000" w:rsidR="00000000" w:rsidRPr="00000000">
        <w:rPr>
          <w:rFonts w:ascii="Arial" w:cs="Arial" w:eastAsia="Arial" w:hAnsi="Arial"/>
          <w:rtl w:val="0"/>
        </w:rPr>
        <w:t xml:space="preserve">acts</w:t>
      </w:r>
      <w:r w:rsidDel="00000000" w:rsidR="00000000" w:rsidRPr="00000000">
        <w:rPr>
          <w:rFonts w:ascii="Arial" w:cs="Arial" w:eastAsia="Arial" w:hAnsi="Arial"/>
          <w:color w:val="000000"/>
          <w:rtl w:val="0"/>
        </w:rPr>
        <w:t xml:space="preserve"> by keeping them housed. Too often survivors face evictions and homelessness due to the actions of their abusers. In fact, an ACLU study shows that domestic violence is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leading cause of homelessness. This bill is a commonsense solution to housing i</w:t>
      </w:r>
      <w:r w:rsidDel="00000000" w:rsidR="00000000" w:rsidRPr="00000000">
        <w:rPr>
          <w:rFonts w:ascii="Arial" w:cs="Arial" w:eastAsia="Arial" w:hAnsi="Arial"/>
          <w:rtl w:val="0"/>
        </w:rPr>
        <w:t xml:space="preserve">nsecurities</w:t>
      </w:r>
      <w:r w:rsidDel="00000000" w:rsidR="00000000" w:rsidRPr="00000000">
        <w:rPr>
          <w:rFonts w:ascii="Arial" w:cs="Arial" w:eastAsia="Arial" w:hAnsi="Arial"/>
          <w:color w:val="000000"/>
          <w:rtl w:val="0"/>
        </w:rPr>
        <w:t xml:space="preserve"> that survivors face. By keeping survivors housed, the bill will increase safety for s</w:t>
      </w:r>
      <w:r w:rsidDel="00000000" w:rsidR="00000000" w:rsidRPr="00000000">
        <w:rPr>
          <w:rFonts w:ascii="Arial" w:cs="Arial" w:eastAsia="Arial" w:hAnsi="Arial"/>
          <w:rtl w:val="0"/>
        </w:rPr>
        <w:t xml:space="preserve">urvivors and their children while</w:t>
      </w:r>
      <w:r w:rsidDel="00000000" w:rsidR="00000000" w:rsidRPr="00000000">
        <w:rPr>
          <w:rFonts w:ascii="Arial" w:cs="Arial" w:eastAsia="Arial" w:hAnsi="Arial"/>
          <w:color w:val="000000"/>
          <w:rtl w:val="0"/>
        </w:rPr>
        <w:t xml:space="preserve"> decrea</w:t>
      </w:r>
      <w:r w:rsidDel="00000000" w:rsidR="00000000" w:rsidRPr="00000000">
        <w:rPr>
          <w:rFonts w:ascii="Arial" w:cs="Arial" w:eastAsia="Arial" w:hAnsi="Arial"/>
          <w:rtl w:val="0"/>
        </w:rPr>
        <w:t xml:space="preserve">sing</w:t>
      </w:r>
      <w:r w:rsidDel="00000000" w:rsidR="00000000" w:rsidRPr="00000000">
        <w:rPr>
          <w:rFonts w:ascii="Arial" w:cs="Arial" w:eastAsia="Arial" w:hAnsi="Arial"/>
          <w:color w:val="000000"/>
          <w:rtl w:val="0"/>
        </w:rPr>
        <w:t xml:space="preserve"> the trauma and instability that arise from homelessness. </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[INFORMATION ABOUT YOUR ORGANIZATION AND WHY IT SUPPORTS SB 1017].</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SB 1017 will strengthen the current eviction protections survivors have under California law. While California has </w:t>
      </w:r>
      <w:r w:rsidDel="00000000" w:rsidR="00000000" w:rsidRPr="00000000">
        <w:rPr>
          <w:rFonts w:ascii="Arial" w:cs="Arial" w:eastAsia="Arial" w:hAnsi="Arial"/>
          <w:rtl w:val="0"/>
        </w:rPr>
        <w:t xml:space="preserve">previously established</w:t>
      </w:r>
      <w:r w:rsidDel="00000000" w:rsidR="00000000" w:rsidRPr="00000000">
        <w:rPr>
          <w:rFonts w:ascii="Arial" w:cs="Arial" w:eastAsia="Arial" w:hAnsi="Arial"/>
          <w:color w:val="000000"/>
          <w:rtl w:val="0"/>
        </w:rPr>
        <w:t xml:space="preserve"> some eviction protections for survivors in the </w:t>
      </w:r>
      <w:r w:rsidDel="00000000" w:rsidR="00000000" w:rsidRPr="00000000">
        <w:rPr>
          <w:rFonts w:ascii="Arial" w:cs="Arial" w:eastAsia="Arial" w:hAnsi="Arial"/>
          <w:rtl w:val="0"/>
        </w:rPr>
        <w:t xml:space="preserve">Code of Civil Procedure section </w:t>
      </w:r>
      <w:r w:rsidDel="00000000" w:rsidR="00000000" w:rsidRPr="00000000">
        <w:rPr>
          <w:rFonts w:ascii="Arial" w:cs="Arial" w:eastAsia="Arial" w:hAnsi="Arial"/>
          <w:color w:val="000000"/>
          <w:rtl w:val="0"/>
        </w:rPr>
        <w:t xml:space="preserve">1161.3</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several gaps in the law leave survivors at risk and unable to access </w:t>
      </w:r>
      <w:r w:rsidDel="00000000" w:rsidR="00000000" w:rsidRPr="00000000">
        <w:rPr>
          <w:rFonts w:ascii="Arial" w:cs="Arial" w:eastAsia="Arial" w:hAnsi="Arial"/>
          <w:rtl w:val="0"/>
        </w:rPr>
        <w:t xml:space="preserve">these</w:t>
      </w:r>
      <w:r w:rsidDel="00000000" w:rsidR="00000000" w:rsidRPr="00000000">
        <w:rPr>
          <w:rFonts w:ascii="Arial" w:cs="Arial" w:eastAsia="Arial" w:hAnsi="Arial"/>
          <w:color w:val="000000"/>
          <w:rtl w:val="0"/>
        </w:rPr>
        <w:t xml:space="preserve"> protections. </w:t>
      </w:r>
      <w:r w:rsidDel="00000000" w:rsidR="00000000" w:rsidRPr="00000000">
        <w:rPr>
          <w:rFonts w:ascii="Arial" w:cs="Arial" w:eastAsia="Arial" w:hAnsi="Arial"/>
          <w:color w:val="212121"/>
          <w:rtl w:val="0"/>
        </w:rPr>
        <w:t xml:space="preserve">This bill</w:t>
      </w:r>
      <w:r w:rsidDel="00000000" w:rsidR="00000000" w:rsidRPr="00000000">
        <w:rPr>
          <w:rFonts w:ascii="Arial" w:cs="Arial" w:eastAsia="Arial" w:hAnsi="Arial"/>
          <w:color w:val="212121"/>
          <w:highlight w:val="white"/>
          <w:rtl w:val="0"/>
        </w:rPr>
        <w:t xml:space="preserve"> will help ensure that survivors are not evicted because of acts of abuse committed against them. </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SB 1017 will also clarify that survivors are covered under the eviction protections regardless of whether the person who committed the abuse was also a tenant, if that person no longer lives at the property. This provision eliminates an unintended loophole in the current law.</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SB 1017 protects survivors that live with the abusive person from being evicted because of the abuse, by allowing courts to issue a partial eviction, evicting the abusive person but not the survivor.</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In addition, the bill will expand coverage of the protections to include survivors with a broader range of violent victimization experiences, and survivors’ immediate family members – bringing California’s eviction protections for survivors in line with California’s early lease termination protections for survivors.</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SB 1017 will also expand allowable documentation options to increase survivors’ access to the eviction protections. Because domestic violence, human trafficking, and elder abuse involve deep psychological abuse and manipulation, survivors often do not report their abuse, </w:t>
      </w:r>
      <w:r w:rsidDel="00000000" w:rsidR="00000000" w:rsidRPr="00000000">
        <w:rPr>
          <w:rFonts w:ascii="Arial" w:cs="Arial" w:eastAsia="Arial" w:hAnsi="Arial"/>
          <w:rtl w:val="0"/>
        </w:rPr>
        <w:t xml:space="preserve">which decreases </w:t>
      </w:r>
      <w:r w:rsidDel="00000000" w:rsidR="00000000" w:rsidRPr="00000000">
        <w:rPr>
          <w:rFonts w:ascii="Arial" w:cs="Arial" w:eastAsia="Arial" w:hAnsi="Arial"/>
          <w:color w:val="000000"/>
          <w:rtl w:val="0"/>
        </w:rPr>
        <w:t xml:space="preserve">access to the protections under current law. To address this, the bill will allow survivors to use any documentation that the court determines reasonably</w:t>
      </w:r>
      <w:r w:rsidDel="00000000" w:rsidR="00000000" w:rsidRPr="00000000">
        <w:rPr>
          <w:rFonts w:ascii="Arial" w:cs="Arial" w:eastAsia="Arial" w:hAnsi="Arial"/>
          <w:rtl w:val="0"/>
        </w:rPr>
        <w:t xml:space="preserve"> proves the victimization and is acceptable to the court</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bill will eliminate language in current law which invalidates </w:t>
      </w:r>
      <w:r w:rsidDel="00000000" w:rsidR="00000000" w:rsidRPr="00000000">
        <w:rPr>
          <w:rFonts w:ascii="Arial" w:cs="Arial" w:eastAsia="Arial" w:hAnsi="Arial"/>
          <w:rtl w:val="0"/>
        </w:rPr>
        <w:t xml:space="preserve">the eviction protection </w:t>
      </w:r>
      <w:r w:rsidDel="00000000" w:rsidR="00000000" w:rsidRPr="00000000">
        <w:rPr>
          <w:rFonts w:ascii="Arial" w:cs="Arial" w:eastAsia="Arial" w:hAnsi="Arial"/>
          <w:color w:val="000000"/>
          <w:rtl w:val="0"/>
        </w:rPr>
        <w:t xml:space="preserve">if the survivor “allows” the abusive person to visit the property. This language does not reflect the complexity of  familial crimes and the interpersonal dynamics of survivors and abusers. </w:t>
      </w:r>
      <w:r w:rsidDel="00000000" w:rsidR="00000000" w:rsidRPr="00000000">
        <w:rPr>
          <w:rFonts w:ascii="Arial" w:cs="Arial" w:eastAsia="Arial" w:hAnsi="Arial"/>
          <w:color w:val="000000"/>
          <w:rtl w:val="0"/>
        </w:rPr>
        <w:t xml:space="preserve">Namely, abusers are often family members – survivors share deep history, blood, and other relatives, including children with their abusers. Consequently, abusers sometimes return to these homes – to continue holding power and control over their victims</w:t>
      </w:r>
      <w:r w:rsidDel="00000000" w:rsidR="00000000" w:rsidRPr="00000000">
        <w:rPr>
          <w:rFonts w:ascii="Arial" w:cs="Arial" w:eastAsia="Arial" w:hAnsi="Arial"/>
          <w:rtl w:val="0"/>
        </w:rPr>
        <w:t xml:space="preserve"> or</w:t>
      </w:r>
      <w:r w:rsidDel="00000000" w:rsidR="00000000" w:rsidRPr="00000000">
        <w:rPr>
          <w:rFonts w:ascii="Arial" w:cs="Arial" w:eastAsia="Arial" w:hAnsi="Arial"/>
          <w:color w:val="000000"/>
          <w:rtl w:val="0"/>
        </w:rPr>
        <w:t xml:space="preserve"> for </w:t>
      </w:r>
      <w:r w:rsidDel="00000000" w:rsidR="00000000" w:rsidRPr="00000000">
        <w:rPr>
          <w:rFonts w:ascii="Arial" w:cs="Arial" w:eastAsia="Arial" w:hAnsi="Arial"/>
          <w:rtl w:val="0"/>
        </w:rPr>
        <w:t xml:space="preserve">innocuous reasons like collecting</w:t>
      </w:r>
      <w:r w:rsidDel="00000000" w:rsidR="00000000" w:rsidRPr="00000000">
        <w:rPr>
          <w:rFonts w:ascii="Arial" w:cs="Arial" w:eastAsia="Arial" w:hAnsi="Arial"/>
          <w:color w:val="000000"/>
          <w:rtl w:val="0"/>
        </w:rPr>
        <w:t xml:space="preserve"> their belongings, or </w:t>
      </w:r>
      <w:r w:rsidDel="00000000" w:rsidR="00000000" w:rsidRPr="00000000">
        <w:rPr>
          <w:rFonts w:ascii="Arial" w:cs="Arial" w:eastAsia="Arial" w:hAnsi="Arial"/>
          <w:rtl w:val="0"/>
        </w:rPr>
        <w:t xml:space="preserve">visiting </w:t>
      </w:r>
      <w:r w:rsidDel="00000000" w:rsidR="00000000" w:rsidRPr="00000000">
        <w:rPr>
          <w:rFonts w:ascii="Arial" w:cs="Arial" w:eastAsia="Arial" w:hAnsi="Arial"/>
          <w:color w:val="000000"/>
          <w:rtl w:val="0"/>
        </w:rPr>
        <w:t xml:space="preserve">their children. To more accurately reflect the practical realities of survivorship, SB 1017 </w:t>
      </w:r>
      <w:r w:rsidDel="00000000" w:rsidR="00000000" w:rsidRPr="00000000">
        <w:rPr>
          <w:rFonts w:ascii="Arial" w:cs="Arial" w:eastAsia="Arial" w:hAnsi="Arial"/>
          <w:rtl w:val="0"/>
        </w:rPr>
        <w:t xml:space="preserve">no longer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revokes</w:t>
      </w:r>
      <w:r w:rsidDel="00000000" w:rsidR="00000000" w:rsidRPr="00000000">
        <w:rPr>
          <w:rFonts w:ascii="Arial" w:cs="Arial" w:eastAsia="Arial" w:hAnsi="Arial"/>
          <w:color w:val="000000"/>
          <w:rtl w:val="0"/>
        </w:rPr>
        <w:t xml:space="preserve"> the eviction protections if the </w:t>
      </w:r>
      <w:r w:rsidDel="00000000" w:rsidR="00000000" w:rsidRPr="00000000">
        <w:rPr>
          <w:rFonts w:ascii="Arial" w:cs="Arial" w:eastAsia="Arial" w:hAnsi="Arial"/>
          <w:rtl w:val="0"/>
        </w:rPr>
        <w:t xml:space="preserve">abusive person comes on the property against the</w:t>
      </w:r>
      <w:r w:rsidDel="00000000" w:rsidR="00000000" w:rsidRPr="00000000">
        <w:rPr>
          <w:rFonts w:ascii="Arial" w:cs="Arial" w:eastAsia="Arial" w:hAnsi="Arial"/>
          <w:color w:val="000000"/>
          <w:rtl w:val="0"/>
        </w:rPr>
        <w:t xml:space="preserve"> tenant</w:t>
      </w:r>
      <w:r w:rsidDel="00000000" w:rsidR="00000000" w:rsidRPr="00000000">
        <w:rPr>
          <w:rFonts w:ascii="Arial" w:cs="Arial" w:eastAsia="Arial" w:hAnsi="Arial"/>
          <w:rtl w:val="0"/>
        </w:rPr>
        <w:t xml:space="preserve">’s wishes or comes on the property without disturbing </w:t>
      </w:r>
      <w:r w:rsidDel="00000000" w:rsidR="00000000" w:rsidRPr="00000000">
        <w:rPr>
          <w:rFonts w:ascii="Arial" w:cs="Arial" w:eastAsia="Arial" w:hAnsi="Arial"/>
          <w:color w:val="000000"/>
          <w:rtl w:val="0"/>
        </w:rPr>
        <w:t xml:space="preserve">another person at the property.</w:t>
      </w:r>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Lastly, SB 1017 provides survivors and survivors’ household members and immediate family members who terminate their lease early with a cause of action, should the landlord fail to obey the law.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reality is that without legal protections like SB 1017, survivors of abuse and their children will continue to face the compounded trauma of instability, housing insecurity, and homelessness. For these reasons, </w:t>
      </w:r>
      <w:r w:rsidDel="00000000" w:rsidR="00000000" w:rsidRPr="00000000">
        <w:rPr>
          <w:rFonts w:ascii="Arial" w:cs="Arial" w:eastAsia="Arial" w:hAnsi="Arial"/>
          <w:b w:val="1"/>
          <w:color w:val="000000"/>
          <w:highlight w:val="yellow"/>
          <w:rtl w:val="0"/>
        </w:rPr>
        <w:t xml:space="preserve">[ORGANIZATION]</w:t>
      </w:r>
      <w:r w:rsidDel="00000000" w:rsidR="00000000" w:rsidRPr="00000000">
        <w:rPr>
          <w:rFonts w:ascii="Arial" w:cs="Arial" w:eastAsia="Arial" w:hAnsi="Arial"/>
          <w:color w:val="000000"/>
          <w:rtl w:val="0"/>
        </w:rPr>
        <w:t xml:space="preserve"> is pleased to support SB 1017 and respectfully requests your “Aye” vote.</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Sincerely, </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[SIGNATURE]  </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[NAME]  </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[TITLE]  </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highlight w:val="yellow"/>
          <w:rtl w:val="0"/>
        </w:rPr>
        <w:t xml:space="preserve">[ORGANIZATION]  </w:t>
      </w:r>
      <w:r w:rsidDel="00000000" w:rsidR="00000000" w:rsidRPr="00000000">
        <w:rPr>
          <w:rtl w:val="0"/>
        </w:rPr>
      </w:r>
    </w:p>
    <w:p w:rsidR="00000000" w:rsidDel="00000000" w:rsidP="00000000" w:rsidRDefault="00000000" w:rsidRPr="00000000" w14:paraId="0000002A">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CC:</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Assemblymember Jordan Cunningham, Vice Chair</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Richard Bloom</w:t>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Laurie Davies</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Matt Haney</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Ash Kalra</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Kevin Kiley</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Brian Maienschein</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Eloise Gomez Reyes</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Assemblymember Robert Rivas</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entury Schoolbook" w:cs="Century Schoolbook" w:eastAsia="Century Schoolbook" w:hAnsi="Century Schoolbook"/>
      <w:sz w:val="28"/>
      <w:szCs w:val="28"/>
    </w:rPr>
  </w:style>
  <w:style w:type="paragraph" w:styleId="Heading2">
    <w:name w:val="heading 2"/>
    <w:basedOn w:val="Normal"/>
    <w:next w:val="Normal"/>
    <w:pPr>
      <w:keepNext w:val="1"/>
      <w:keepLines w:val="1"/>
      <w:spacing w:after="0" w:before="40" w:lineRule="auto"/>
    </w:pPr>
    <w:rPr>
      <w:rFonts w:ascii="Century Schoolbook" w:cs="Century Schoolbook" w:eastAsia="Century Schoolbook" w:hAnsi="Century Schoolbook"/>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503BEB"/>
    <w:pPr>
      <w:keepNext w:val="1"/>
      <w:keepLines w:val="1"/>
      <w:spacing w:after="0" w:before="240"/>
      <w:outlineLvl w:val="0"/>
    </w:pPr>
    <w:rPr>
      <w:rFonts w:ascii="Century Schoolbook" w:hAnsi="Century Schoolbook" w:cstheme="majorBidi" w:eastAsiaTheme="majorEastAsia"/>
      <w:sz w:val="28"/>
      <w:szCs w:val="32"/>
    </w:rPr>
  </w:style>
  <w:style w:type="paragraph" w:styleId="Heading2">
    <w:name w:val="heading 2"/>
    <w:basedOn w:val="Normal"/>
    <w:next w:val="Normal"/>
    <w:link w:val="Heading2Char"/>
    <w:uiPriority w:val="9"/>
    <w:unhideWhenUsed w:val="1"/>
    <w:qFormat w:val="1"/>
    <w:rsid w:val="00503BEB"/>
    <w:pPr>
      <w:keepNext w:val="1"/>
      <w:keepLines w:val="1"/>
      <w:spacing w:after="0" w:before="40"/>
      <w:outlineLvl w:val="1"/>
    </w:pPr>
    <w:rPr>
      <w:rFonts w:ascii="Century Schoolbook" w:hAnsi="Century Schoolbook" w:cstheme="majorBidi" w:eastAsiaTheme="majorEastAsia"/>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3BEB"/>
    <w:rPr>
      <w:rFonts w:ascii="Century Schoolbook" w:hAnsi="Century Schoolbook" w:cstheme="majorBidi" w:eastAsiaTheme="majorEastAsia"/>
      <w:sz w:val="28"/>
      <w:szCs w:val="32"/>
    </w:rPr>
  </w:style>
  <w:style w:type="character" w:styleId="Heading2Char" w:customStyle="1">
    <w:name w:val="Heading 2 Char"/>
    <w:basedOn w:val="DefaultParagraphFont"/>
    <w:link w:val="Heading2"/>
    <w:uiPriority w:val="9"/>
    <w:rsid w:val="00503BEB"/>
    <w:rPr>
      <w:rFonts w:ascii="Century Schoolbook" w:hAnsi="Century Schoolbook" w:cstheme="majorBidi" w:eastAsiaTheme="majorEastAsia"/>
      <w:sz w:val="28"/>
      <w:szCs w:val="26"/>
    </w:rPr>
  </w:style>
  <w:style w:type="paragraph" w:styleId="NormalWeb">
    <w:name w:val="Normal (Web)"/>
    <w:basedOn w:val="Normal"/>
    <w:uiPriority w:val="99"/>
    <w:semiHidden w:val="1"/>
    <w:unhideWhenUsed w:val="1"/>
    <w:rsid w:val="000D53E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0D53E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dia@cuav.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legislation.lc.ca.gov/Advocates" TargetMode="External"/><Relationship Id="rId8" Type="http://schemas.openxmlformats.org/officeDocument/2006/relationships/hyperlink" Target="mailto:Jacob.Fraker@sen.c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YOtUpccLmUpmILZHX/IpyTxLA==">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2022-03-23T23:26:00Z</dcterms:created>
  <dc:creator>Taylor Campion</dc:creator>
</cp:coreProperties>
</file>